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0D" w:rsidRPr="00C9133D" w:rsidRDefault="00446B0D" w:rsidP="00446B0D">
      <w:pPr>
        <w:widowControl w:val="0"/>
        <w:spacing w:line="264" w:lineRule="auto"/>
        <w:ind w:left="720" w:hanging="720"/>
        <w:rPr>
          <w:sz w:val="24"/>
          <w:szCs w:val="24"/>
          <w:lang w:val="es-UY"/>
        </w:rPr>
      </w:pPr>
      <w:bookmarkStart w:id="0" w:name="_GoBack"/>
      <w:bookmarkEnd w:id="0"/>
    </w:p>
    <w:p w:rsidR="00446B0D" w:rsidRPr="0008413F" w:rsidRDefault="00446B0D" w:rsidP="00446B0D">
      <w:pPr>
        <w:jc w:val="center"/>
        <w:rPr>
          <w:b/>
          <w:sz w:val="44"/>
          <w:szCs w:val="44"/>
          <w:lang w:val="es-UY"/>
        </w:rPr>
      </w:pPr>
      <w:r w:rsidRPr="0008413F">
        <w:rPr>
          <w:b/>
          <w:sz w:val="44"/>
          <w:szCs w:val="44"/>
          <w:lang w:val="es-UY"/>
        </w:rPr>
        <w:t xml:space="preserve">WDC </w:t>
      </w:r>
      <w:r>
        <w:rPr>
          <w:b/>
          <w:sz w:val="44"/>
          <w:szCs w:val="44"/>
          <w:lang w:val="es-UY"/>
        </w:rPr>
        <w:t xml:space="preserve">- </w:t>
      </w:r>
      <w:r w:rsidRPr="0008413F">
        <w:rPr>
          <w:b/>
          <w:sz w:val="44"/>
          <w:szCs w:val="44"/>
          <w:lang w:val="es-UY"/>
        </w:rPr>
        <w:t>ASAMBLEA ANUAL 2016</w:t>
      </w:r>
    </w:p>
    <w:p w:rsidR="00446B0D" w:rsidRPr="0008413F" w:rsidRDefault="00446B0D" w:rsidP="00446B0D">
      <w:pPr>
        <w:jc w:val="center"/>
        <w:rPr>
          <w:b/>
          <w:sz w:val="44"/>
          <w:szCs w:val="44"/>
          <w:lang w:val="es-UY"/>
        </w:rPr>
      </w:pPr>
      <w:r w:rsidRPr="0008413F">
        <w:rPr>
          <w:b/>
          <w:sz w:val="44"/>
          <w:szCs w:val="44"/>
          <w:lang w:val="es-UY"/>
        </w:rPr>
        <w:t>TALLERES</w:t>
      </w:r>
    </w:p>
    <w:p w:rsidR="00446B0D" w:rsidRDefault="00446B0D" w:rsidP="00446B0D">
      <w:r w:rsidRPr="00B4429B">
        <w:rPr>
          <w:lang w:val="es-UY"/>
        </w:rPr>
        <w:t xml:space="preserve">Los talleres tienen una duración de 50 minutos. </w:t>
      </w:r>
      <w:r>
        <w:rPr>
          <w:lang w:val="es-UY"/>
        </w:rPr>
        <w:t xml:space="preserve">En su mayoría están ubicados en el 2do. Piso (hay ascensor) del  Centro Académico James A. </w:t>
      </w:r>
      <w:proofErr w:type="spellStart"/>
      <w:r>
        <w:rPr>
          <w:lang w:val="es-UY"/>
        </w:rPr>
        <w:t>Will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Family</w:t>
      </w:r>
      <w:proofErr w:type="spellEnd"/>
      <w:r>
        <w:rPr>
          <w:lang w:val="es-UY"/>
        </w:rPr>
        <w:t xml:space="preserve">. Algunos talleres se ofrecen dos veces. </w:t>
      </w:r>
    </w:p>
    <w:p w:rsidR="00446B0D" w:rsidRPr="008471F1" w:rsidRDefault="00446B0D" w:rsidP="00446B0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43"/>
        <w:gridCol w:w="3306"/>
        <w:gridCol w:w="17"/>
        <w:gridCol w:w="1333"/>
        <w:gridCol w:w="37"/>
        <w:gridCol w:w="1392"/>
        <w:gridCol w:w="13"/>
        <w:gridCol w:w="1307"/>
      </w:tblGrid>
      <w:tr w:rsidR="00446B0D" w:rsidRPr="00165043" w:rsidTr="00976A01">
        <w:tc>
          <w:tcPr>
            <w:tcW w:w="1945" w:type="dxa"/>
            <w:gridSpan w:val="2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TITULO / </w:t>
            </w:r>
            <w:r w:rsidRPr="00165043">
              <w:rPr>
                <w:b/>
                <w:sz w:val="20"/>
                <w:szCs w:val="20"/>
              </w:rPr>
              <w:t>PRESENT</w:t>
            </w:r>
            <w:r>
              <w:rPr>
                <w:b/>
                <w:sz w:val="20"/>
                <w:szCs w:val="20"/>
              </w:rPr>
              <w:t>ADOR</w:t>
            </w:r>
          </w:p>
          <w:p w:rsidR="00446B0D" w:rsidRPr="006363CA" w:rsidRDefault="00446B0D" w:rsidP="0016791C">
            <w:pPr>
              <w:rPr>
                <w:b/>
                <w:sz w:val="16"/>
                <w:szCs w:val="16"/>
              </w:rPr>
            </w:pPr>
          </w:p>
        </w:tc>
        <w:tc>
          <w:tcPr>
            <w:tcW w:w="3306" w:type="dxa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TALLER</w:t>
            </w: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# 1</w:t>
            </w:r>
          </w:p>
        </w:tc>
        <w:tc>
          <w:tcPr>
            <w:tcW w:w="1405" w:type="dxa"/>
            <w:gridSpan w:val="2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Taller # 2 </w:t>
            </w:r>
          </w:p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 w:rsidRPr="00165043">
              <w:rPr>
                <w:b/>
                <w:sz w:val="20"/>
                <w:szCs w:val="20"/>
              </w:rPr>
              <w:t>2:30</w:t>
            </w:r>
          </w:p>
        </w:tc>
        <w:tc>
          <w:tcPr>
            <w:tcW w:w="1307" w:type="dxa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</w:t>
            </w:r>
            <w:r w:rsidRPr="00165043">
              <w:rPr>
                <w:b/>
                <w:sz w:val="20"/>
                <w:szCs w:val="20"/>
              </w:rPr>
              <w:t xml:space="preserve">  #3</w:t>
            </w:r>
          </w:p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 w:rsidRPr="00165043">
              <w:rPr>
                <w:b/>
                <w:sz w:val="20"/>
                <w:szCs w:val="20"/>
              </w:rPr>
              <w:t>4:00</w:t>
            </w:r>
          </w:p>
        </w:tc>
      </w:tr>
      <w:tr w:rsidR="00446B0D" w:rsidRPr="00165043" w:rsidTr="00976A01">
        <w:tc>
          <w:tcPr>
            <w:tcW w:w="1945" w:type="dxa"/>
            <w:gridSpan w:val="2"/>
          </w:tcPr>
          <w:p w:rsidR="00446B0D" w:rsidRPr="0008413F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08413F">
              <w:rPr>
                <w:b/>
                <w:sz w:val="20"/>
                <w:szCs w:val="20"/>
                <w:lang w:val="es-UY"/>
              </w:rPr>
              <w:t>ADQUIRIR SENTIDO DE PERTENENCIA</w:t>
            </w:r>
          </w:p>
          <w:p w:rsidR="00446B0D" w:rsidRPr="0008413F" w:rsidRDefault="00446B0D" w:rsidP="0016791C">
            <w:pPr>
              <w:rPr>
                <w:sz w:val="20"/>
                <w:szCs w:val="20"/>
                <w:lang w:val="es-UY"/>
              </w:rPr>
            </w:pPr>
            <w:r w:rsidRPr="0008413F">
              <w:rPr>
                <w:sz w:val="20"/>
                <w:szCs w:val="20"/>
                <w:lang w:val="es-UY"/>
              </w:rPr>
              <w:t xml:space="preserve">(Brad </w:t>
            </w:r>
            <w:proofErr w:type="spellStart"/>
            <w:r w:rsidRPr="0008413F">
              <w:rPr>
                <w:sz w:val="20"/>
                <w:szCs w:val="20"/>
                <w:lang w:val="es-UY"/>
              </w:rPr>
              <w:t>Roth</w:t>
            </w:r>
            <w:proofErr w:type="spellEnd"/>
            <w:r w:rsidRPr="0008413F">
              <w:rPr>
                <w:sz w:val="20"/>
                <w:szCs w:val="20"/>
                <w:lang w:val="es-UY"/>
              </w:rPr>
              <w:t>)</w:t>
            </w:r>
          </w:p>
          <w:p w:rsidR="00446B0D" w:rsidRPr="0008413F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3306" w:type="dxa"/>
          </w:tcPr>
          <w:p w:rsidR="00446B0D" w:rsidRPr="00B910F1" w:rsidRDefault="00446B0D" w:rsidP="0016791C">
            <w:pPr>
              <w:rPr>
                <w:sz w:val="20"/>
                <w:szCs w:val="20"/>
                <w:lang w:val="es-UY"/>
              </w:rPr>
            </w:pPr>
            <w:r w:rsidRPr="00A93001">
              <w:rPr>
                <w:i/>
                <w:sz w:val="20"/>
                <w:szCs w:val="20"/>
                <w:lang w:val="es-UY"/>
              </w:rPr>
              <w:t>En nuestra sociedad siempre estamos en movimiento –en la escuela,</w:t>
            </w:r>
            <w:r>
              <w:rPr>
                <w:i/>
                <w:sz w:val="20"/>
                <w:szCs w:val="20"/>
                <w:lang w:val="es-UY"/>
              </w:rPr>
              <w:t xml:space="preserve"> </w:t>
            </w:r>
            <w:r w:rsidRPr="00A93001">
              <w:rPr>
                <w:i/>
                <w:sz w:val="20"/>
                <w:szCs w:val="20"/>
                <w:lang w:val="es-UY"/>
              </w:rPr>
              <w:t>en el trabajo,</w:t>
            </w:r>
            <w:r w:rsidRPr="00A93001">
              <w:rPr>
                <w:lang w:val="es-UY"/>
              </w:rPr>
              <w:t xml:space="preserve"> </w:t>
            </w:r>
            <w:r w:rsidRPr="00A93001">
              <w:rPr>
                <w:i/>
                <w:sz w:val="20"/>
                <w:szCs w:val="20"/>
                <w:lang w:val="es-UY"/>
              </w:rPr>
              <w:t xml:space="preserve">en lo más </w:t>
            </w:r>
            <w:r>
              <w:rPr>
                <w:i/>
                <w:sz w:val="20"/>
                <w:szCs w:val="20"/>
                <w:lang w:val="es-UY"/>
              </w:rPr>
              <w:t>profundo</w:t>
            </w:r>
            <w:r w:rsidRPr="00A93001">
              <w:rPr>
                <w:i/>
                <w:sz w:val="20"/>
                <w:szCs w:val="20"/>
                <w:lang w:val="es-UY"/>
              </w:rPr>
              <w:t xml:space="preserve"> y</w:t>
            </w:r>
            <w:r>
              <w:rPr>
                <w:i/>
                <w:sz w:val="20"/>
                <w:szCs w:val="20"/>
                <w:lang w:val="es-UY"/>
              </w:rPr>
              <w:t xml:space="preserve"> desde lo más alto</w:t>
            </w:r>
            <w:r w:rsidRPr="00A93001">
              <w:rPr>
                <w:i/>
                <w:sz w:val="20"/>
                <w:szCs w:val="20"/>
                <w:lang w:val="es-UY"/>
              </w:rPr>
              <w:t>,</w:t>
            </w:r>
            <w:r>
              <w:rPr>
                <w:i/>
                <w:sz w:val="20"/>
                <w:szCs w:val="20"/>
                <w:lang w:val="es-UY"/>
              </w:rPr>
              <w:t xml:space="preserve"> Pero ¿qué pasa si todo ese movimiento nos ha dejado sin raíces</w:t>
            </w:r>
            <w:r w:rsidRPr="00A93001">
              <w:rPr>
                <w:i/>
                <w:sz w:val="20"/>
                <w:szCs w:val="20"/>
                <w:lang w:val="es-UY"/>
              </w:rPr>
              <w:t xml:space="preserve">– </w:t>
            </w:r>
            <w:r>
              <w:rPr>
                <w:i/>
                <w:sz w:val="20"/>
                <w:szCs w:val="20"/>
                <w:lang w:val="es-UY"/>
              </w:rPr>
              <w:t xml:space="preserve">tal vez </w:t>
            </w:r>
            <w:proofErr w:type="gramStart"/>
            <w:r>
              <w:rPr>
                <w:i/>
                <w:sz w:val="20"/>
                <w:szCs w:val="20"/>
                <w:lang w:val="es-UY"/>
              </w:rPr>
              <w:t>desconectados</w:t>
            </w:r>
            <w:proofErr w:type="gramEnd"/>
            <w:r>
              <w:rPr>
                <w:i/>
                <w:sz w:val="20"/>
                <w:szCs w:val="20"/>
                <w:lang w:val="es-UY"/>
              </w:rPr>
              <w:t xml:space="preserve"> de Dios? </w:t>
            </w:r>
            <w:r w:rsidRPr="00B910F1">
              <w:rPr>
                <w:i/>
                <w:sz w:val="20"/>
                <w:szCs w:val="20"/>
                <w:lang w:val="es-UY"/>
              </w:rPr>
              <w:t>E</w:t>
            </w:r>
            <w:r>
              <w:rPr>
                <w:i/>
                <w:sz w:val="20"/>
                <w:szCs w:val="20"/>
                <w:lang w:val="es-UY"/>
              </w:rPr>
              <w:t>ste</w:t>
            </w:r>
            <w:r w:rsidRPr="00B910F1">
              <w:rPr>
                <w:i/>
                <w:sz w:val="20"/>
                <w:szCs w:val="20"/>
                <w:lang w:val="es-UY"/>
              </w:rPr>
              <w:t xml:space="preserve"> taller explora cómo “permaneciendo</w:t>
            </w:r>
            <w:proofErr w:type="gramStart"/>
            <w:r w:rsidRPr="00B910F1">
              <w:rPr>
                <w:i/>
                <w:sz w:val="20"/>
                <w:szCs w:val="20"/>
                <w:lang w:val="es-UY"/>
              </w:rPr>
              <w:t>“ podemos</w:t>
            </w:r>
            <w:proofErr w:type="gramEnd"/>
            <w:r w:rsidRPr="00B910F1">
              <w:rPr>
                <w:i/>
                <w:sz w:val="20"/>
                <w:szCs w:val="20"/>
                <w:lang w:val="es-UY"/>
              </w:rPr>
              <w:t xml:space="preserve"> ver restaurado nuestro sentido de pertenencia.</w:t>
            </w: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210</w:t>
            </w:r>
          </w:p>
        </w:tc>
        <w:tc>
          <w:tcPr>
            <w:tcW w:w="1405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</w:t>
            </w:r>
            <w:r>
              <w:rPr>
                <w:sz w:val="20"/>
                <w:szCs w:val="20"/>
              </w:rPr>
              <w:t xml:space="preserve"> </w:t>
            </w:r>
            <w:r w:rsidRPr="00165043">
              <w:rPr>
                <w:sz w:val="20"/>
                <w:szCs w:val="20"/>
              </w:rPr>
              <w:t>210</w:t>
            </w:r>
          </w:p>
        </w:tc>
        <w:tc>
          <w:tcPr>
            <w:tcW w:w="1307" w:type="dxa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</w:tr>
      <w:tr w:rsidR="00446B0D" w:rsidRPr="00165043" w:rsidTr="00976A01">
        <w:tc>
          <w:tcPr>
            <w:tcW w:w="1945" w:type="dxa"/>
            <w:gridSpan w:val="2"/>
          </w:tcPr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ALLI DONDE TÚ ESTÁS</w:t>
            </w:r>
            <w:r w:rsidRPr="00165043">
              <w:rPr>
                <w:b/>
                <w:sz w:val="20"/>
                <w:szCs w:val="20"/>
              </w:rPr>
              <w:t xml:space="preserve"> </w:t>
            </w:r>
          </w:p>
          <w:p w:rsidR="00446B0D" w:rsidRPr="003C2DC8" w:rsidRDefault="00446B0D" w:rsidP="0016791C">
            <w:pPr>
              <w:rPr>
                <w:sz w:val="20"/>
                <w:szCs w:val="20"/>
              </w:rPr>
            </w:pPr>
            <w:r w:rsidRPr="003C2DC8">
              <w:rPr>
                <w:sz w:val="20"/>
                <w:szCs w:val="20"/>
              </w:rPr>
              <w:t>(Marty Troyer)</w:t>
            </w:r>
          </w:p>
        </w:tc>
        <w:tc>
          <w:tcPr>
            <w:tcW w:w="3306" w:type="dxa"/>
          </w:tcPr>
          <w:p w:rsidR="00446B0D" w:rsidRPr="00450BF4" w:rsidRDefault="00446B0D" w:rsidP="0016791C">
            <w:pPr>
              <w:rPr>
                <w:sz w:val="20"/>
                <w:szCs w:val="20"/>
                <w:lang w:val="es-UY"/>
              </w:rPr>
            </w:pPr>
            <w:r w:rsidRPr="00B910F1">
              <w:rPr>
                <w:i/>
                <w:sz w:val="20"/>
                <w:szCs w:val="20"/>
                <w:lang w:val="es-UY"/>
              </w:rPr>
              <w:t xml:space="preserve">Cuando </w:t>
            </w:r>
            <w:r>
              <w:rPr>
                <w:i/>
                <w:sz w:val="20"/>
                <w:szCs w:val="20"/>
                <w:lang w:val="es-UY"/>
              </w:rPr>
              <w:t>sales por la puerta de t</w:t>
            </w:r>
            <w:r w:rsidRPr="00B910F1">
              <w:rPr>
                <w:i/>
                <w:sz w:val="20"/>
                <w:szCs w:val="20"/>
                <w:lang w:val="es-UY"/>
              </w:rPr>
              <w:t>u casa, ¿qué ves? Cada vez que Jes</w:t>
            </w:r>
            <w:r>
              <w:rPr>
                <w:i/>
                <w:sz w:val="20"/>
                <w:szCs w:val="20"/>
                <w:lang w:val="es-UY"/>
              </w:rPr>
              <w:t>ús salió supo</w:t>
            </w:r>
            <w:r w:rsidRPr="00B910F1">
              <w:rPr>
                <w:i/>
                <w:sz w:val="20"/>
                <w:szCs w:val="20"/>
                <w:lang w:val="es-UY"/>
              </w:rPr>
              <w:t xml:space="preserve"> exactamente</w:t>
            </w:r>
            <w:r>
              <w:rPr>
                <w:i/>
                <w:sz w:val="20"/>
                <w:szCs w:val="20"/>
                <w:lang w:val="es-UY"/>
              </w:rPr>
              <w:t xml:space="preserve"> qué necesitaba </w:t>
            </w:r>
            <w:r w:rsidRPr="00B910F1">
              <w:rPr>
                <w:i/>
                <w:sz w:val="20"/>
                <w:szCs w:val="20"/>
                <w:lang w:val="es-UY"/>
              </w:rPr>
              <w:t xml:space="preserve">la gente. </w:t>
            </w:r>
            <w:r>
              <w:rPr>
                <w:i/>
                <w:sz w:val="20"/>
                <w:szCs w:val="20"/>
                <w:lang w:val="es-UY"/>
              </w:rPr>
              <w:t>La ubicación parecía dar forma a su misión. ¿Cómo puede pasar eso en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tu iglesia?  Hablaremos sobre ver a </w:t>
            </w:r>
            <w:r>
              <w:rPr>
                <w:i/>
                <w:sz w:val="20"/>
                <w:szCs w:val="20"/>
                <w:lang w:val="es-UY"/>
              </w:rPr>
              <w:t>tu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comunidad a través de los ojos de Dios  y descubrir </w:t>
            </w:r>
            <w:r>
              <w:rPr>
                <w:i/>
                <w:sz w:val="20"/>
                <w:szCs w:val="20"/>
                <w:lang w:val="es-UY"/>
              </w:rPr>
              <w:t>que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el evangelio ya está presente justo al lado de donde </w:t>
            </w:r>
            <w:r>
              <w:rPr>
                <w:i/>
                <w:sz w:val="20"/>
                <w:szCs w:val="20"/>
                <w:lang w:val="es-UY"/>
              </w:rPr>
              <w:t xml:space="preserve">estás. </w:t>
            </w: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214</w:t>
            </w:r>
          </w:p>
        </w:tc>
        <w:tc>
          <w:tcPr>
            <w:tcW w:w="1405" w:type="dxa"/>
            <w:gridSpan w:val="2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214</w:t>
            </w:r>
          </w:p>
        </w:tc>
      </w:tr>
      <w:tr w:rsidR="00446B0D" w:rsidRPr="00165043" w:rsidTr="00976A01">
        <w:tc>
          <w:tcPr>
            <w:tcW w:w="1945" w:type="dxa"/>
            <w:gridSpan w:val="2"/>
          </w:tcPr>
          <w:p w:rsidR="00446B0D" w:rsidRPr="0008413F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08413F">
              <w:rPr>
                <w:b/>
                <w:sz w:val="20"/>
                <w:szCs w:val="20"/>
                <w:lang w:val="es-UY"/>
              </w:rPr>
              <w:t>ORACIÓN CONTEMPLATIVA</w:t>
            </w:r>
          </w:p>
          <w:p w:rsidR="00446B0D" w:rsidRPr="0008413F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08413F">
              <w:rPr>
                <w:b/>
                <w:sz w:val="20"/>
                <w:szCs w:val="20"/>
                <w:lang w:val="es-UY"/>
              </w:rPr>
              <w:t xml:space="preserve"> Y CREATIVA </w:t>
            </w:r>
          </w:p>
          <w:p w:rsidR="00446B0D" w:rsidRPr="0008413F" w:rsidRDefault="00446B0D" w:rsidP="0016791C">
            <w:pPr>
              <w:rPr>
                <w:sz w:val="20"/>
                <w:szCs w:val="20"/>
                <w:lang w:val="es-UY"/>
              </w:rPr>
            </w:pPr>
            <w:r w:rsidRPr="0008413F">
              <w:rPr>
                <w:sz w:val="20"/>
                <w:szCs w:val="20"/>
                <w:lang w:val="es-UY"/>
              </w:rPr>
              <w:t xml:space="preserve">(Joanna </w:t>
            </w:r>
            <w:proofErr w:type="spellStart"/>
            <w:r w:rsidRPr="0008413F">
              <w:rPr>
                <w:sz w:val="20"/>
                <w:szCs w:val="20"/>
                <w:lang w:val="es-UY"/>
              </w:rPr>
              <w:t>Harader</w:t>
            </w:r>
            <w:proofErr w:type="spellEnd"/>
            <w:r w:rsidRPr="0008413F">
              <w:rPr>
                <w:sz w:val="20"/>
                <w:szCs w:val="20"/>
                <w:lang w:val="es-UY"/>
              </w:rPr>
              <w:t>)</w:t>
            </w:r>
          </w:p>
        </w:tc>
        <w:tc>
          <w:tcPr>
            <w:tcW w:w="3306" w:type="dxa"/>
          </w:tcPr>
          <w:p w:rsidR="00446B0D" w:rsidRPr="006363CA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>
              <w:rPr>
                <w:i/>
                <w:sz w:val="20"/>
                <w:szCs w:val="20"/>
                <w:lang w:val="es-UY"/>
              </w:rPr>
              <w:t>Para ser g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uiados mediante una </w:t>
            </w:r>
            <w:r>
              <w:rPr>
                <w:i/>
                <w:sz w:val="20"/>
                <w:szCs w:val="20"/>
                <w:lang w:val="es-UY"/>
              </w:rPr>
              <w:t xml:space="preserve">forma </w:t>
            </w:r>
            <w:r w:rsidRPr="00450BF4">
              <w:rPr>
                <w:i/>
                <w:sz w:val="20"/>
                <w:szCs w:val="20"/>
                <w:lang w:val="es-UY"/>
              </w:rPr>
              <w:t>de orar que incluye papel y lápices de colores – y tambi</w:t>
            </w:r>
            <w:r>
              <w:rPr>
                <w:i/>
                <w:sz w:val="20"/>
                <w:szCs w:val="20"/>
                <w:lang w:val="es-UY"/>
              </w:rPr>
              <w:t>én la mente, el corazón y el espíritu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.  </w:t>
            </w:r>
            <w:r>
              <w:rPr>
                <w:i/>
                <w:sz w:val="20"/>
                <w:szCs w:val="20"/>
                <w:lang w:val="es-UY"/>
              </w:rPr>
              <w:t>Se proveerá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recursos para </w:t>
            </w:r>
            <w:r>
              <w:rPr>
                <w:i/>
                <w:sz w:val="20"/>
                <w:szCs w:val="20"/>
                <w:lang w:val="es-UY"/>
              </w:rPr>
              <w:t>los que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deseen </w:t>
            </w:r>
            <w:r>
              <w:rPr>
                <w:i/>
                <w:sz w:val="20"/>
                <w:szCs w:val="20"/>
                <w:lang w:val="es-UY"/>
              </w:rPr>
              <w:t>explorar más opciones de oración</w:t>
            </w:r>
            <w:r w:rsidRPr="00450BF4">
              <w:rPr>
                <w:i/>
                <w:sz w:val="20"/>
                <w:szCs w:val="20"/>
                <w:lang w:val="es-UY"/>
              </w:rPr>
              <w:t xml:space="preserve"> </w:t>
            </w:r>
            <w:r>
              <w:rPr>
                <w:i/>
                <w:sz w:val="20"/>
                <w:szCs w:val="20"/>
                <w:lang w:val="es-UY"/>
              </w:rPr>
              <w:t>contemplativa.</w:t>
            </w: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209</w:t>
            </w:r>
          </w:p>
        </w:tc>
        <w:tc>
          <w:tcPr>
            <w:tcW w:w="1405" w:type="dxa"/>
            <w:gridSpan w:val="2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209</w:t>
            </w:r>
          </w:p>
        </w:tc>
      </w:tr>
      <w:tr w:rsidR="00446B0D" w:rsidRPr="00165043" w:rsidTr="00976A01">
        <w:tc>
          <w:tcPr>
            <w:tcW w:w="1945" w:type="dxa"/>
            <w:gridSpan w:val="2"/>
          </w:tcPr>
          <w:p w:rsidR="00446B0D" w:rsidRPr="006363CA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6363CA">
              <w:rPr>
                <w:b/>
                <w:sz w:val="20"/>
                <w:szCs w:val="20"/>
                <w:lang w:val="es-UY"/>
              </w:rPr>
              <w:t>“VEN A VER” ISRAEL/PALESTINA</w:t>
            </w:r>
            <w:r>
              <w:rPr>
                <w:b/>
                <w:sz w:val="20"/>
                <w:szCs w:val="20"/>
                <w:lang w:val="es-UY"/>
              </w:rPr>
              <w:t>.</w:t>
            </w:r>
            <w:r w:rsidRPr="006363CA">
              <w:rPr>
                <w:b/>
                <w:sz w:val="20"/>
                <w:szCs w:val="20"/>
                <w:lang w:val="es-UY"/>
              </w:rPr>
              <w:t xml:space="preserve"> SOBRE </w:t>
            </w:r>
            <w:r>
              <w:rPr>
                <w:b/>
                <w:sz w:val="20"/>
                <w:szCs w:val="20"/>
                <w:lang w:val="es-UY"/>
              </w:rPr>
              <w:t>EL TOUR</w:t>
            </w:r>
            <w:r w:rsidRPr="006363CA">
              <w:rPr>
                <w:b/>
                <w:sz w:val="20"/>
                <w:szCs w:val="20"/>
                <w:lang w:val="es-UY"/>
              </w:rPr>
              <w:t xml:space="preserve"> DE APRENDIZAJE </w:t>
            </w:r>
          </w:p>
          <w:p w:rsidR="00446B0D" w:rsidRPr="00165043" w:rsidRDefault="00446B0D" w:rsidP="0016791C">
            <w:pPr>
              <w:rPr>
                <w:b/>
                <w:sz w:val="20"/>
                <w:szCs w:val="20"/>
              </w:rPr>
            </w:pPr>
            <w:r w:rsidRPr="006363CA">
              <w:rPr>
                <w:b/>
                <w:sz w:val="20"/>
                <w:szCs w:val="20"/>
                <w:lang w:val="es-UY"/>
              </w:rPr>
              <w:t xml:space="preserve"> </w:t>
            </w:r>
            <w:r w:rsidRPr="00165043">
              <w:rPr>
                <w:b/>
                <w:sz w:val="20"/>
                <w:szCs w:val="20"/>
              </w:rPr>
              <w:t>(</w:t>
            </w:r>
            <w:r w:rsidRPr="00165043">
              <w:rPr>
                <w:sz w:val="20"/>
                <w:szCs w:val="20"/>
              </w:rPr>
              <w:t xml:space="preserve">Heidi </w:t>
            </w:r>
            <w:proofErr w:type="spellStart"/>
            <w:r w:rsidRPr="00165043">
              <w:rPr>
                <w:sz w:val="20"/>
                <w:szCs w:val="20"/>
              </w:rPr>
              <w:t>Regier</w:t>
            </w:r>
            <w:proofErr w:type="spellEnd"/>
            <w:r w:rsidRPr="00165043">
              <w:rPr>
                <w:sz w:val="20"/>
                <w:szCs w:val="20"/>
              </w:rPr>
              <w:t xml:space="preserve"> </w:t>
            </w:r>
            <w:proofErr w:type="spellStart"/>
            <w:r w:rsidRPr="00165043">
              <w:rPr>
                <w:sz w:val="20"/>
                <w:szCs w:val="20"/>
              </w:rPr>
              <w:t>Kreider</w:t>
            </w:r>
            <w:proofErr w:type="spellEnd"/>
            <w:r w:rsidRPr="00165043">
              <w:rPr>
                <w:sz w:val="20"/>
                <w:szCs w:val="20"/>
              </w:rPr>
              <w:t xml:space="preserve">, Anita </w:t>
            </w:r>
            <w:proofErr w:type="spellStart"/>
            <w:r w:rsidRPr="00165043">
              <w:rPr>
                <w:sz w:val="20"/>
                <w:szCs w:val="20"/>
              </w:rPr>
              <w:t>Kehr</w:t>
            </w:r>
            <w:proofErr w:type="spellEnd"/>
            <w:r w:rsidRPr="00165043">
              <w:rPr>
                <w:sz w:val="20"/>
                <w:szCs w:val="20"/>
              </w:rPr>
              <w:t>)</w:t>
            </w:r>
          </w:p>
        </w:tc>
        <w:tc>
          <w:tcPr>
            <w:tcW w:w="3306" w:type="dxa"/>
          </w:tcPr>
          <w:p w:rsidR="00446B0D" w:rsidRPr="0008413F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 w:rsidRPr="0008413F">
              <w:rPr>
                <w:i/>
                <w:sz w:val="20"/>
                <w:szCs w:val="20"/>
                <w:lang w:val="es-UY"/>
              </w:rPr>
              <w:t>Los participantes en el tour de WDC compartirán reflexiones</w:t>
            </w:r>
            <w:r>
              <w:rPr>
                <w:i/>
                <w:sz w:val="20"/>
                <w:szCs w:val="20"/>
                <w:lang w:val="es-UY"/>
              </w:rPr>
              <w:t>, relatos y fotos de su viaje de</w:t>
            </w:r>
            <w:r w:rsidRPr="0008413F">
              <w:rPr>
                <w:i/>
                <w:sz w:val="20"/>
                <w:szCs w:val="20"/>
                <w:lang w:val="es-UY"/>
              </w:rPr>
              <w:t xml:space="preserve"> abril </w:t>
            </w:r>
            <w:proofErr w:type="spellStart"/>
            <w:r w:rsidRPr="0008413F">
              <w:rPr>
                <w:i/>
                <w:sz w:val="20"/>
                <w:szCs w:val="20"/>
                <w:lang w:val="es-UY"/>
              </w:rPr>
              <w:t>co</w:t>
            </w:r>
            <w:proofErr w:type="spellEnd"/>
            <w:r w:rsidRPr="0008413F">
              <w:rPr>
                <w:i/>
                <w:sz w:val="20"/>
                <w:szCs w:val="20"/>
                <w:lang w:val="es-UY"/>
              </w:rPr>
              <w:t xml:space="preserve">-auspiciado  por la Iglesia Menonita USA y el Comité Central Menonita. </w:t>
            </w:r>
          </w:p>
          <w:p w:rsidR="00446B0D" w:rsidRPr="0008413F" w:rsidRDefault="00446B0D" w:rsidP="0016791C">
            <w:pPr>
              <w:rPr>
                <w:i/>
                <w:sz w:val="20"/>
                <w:szCs w:val="20"/>
                <w:lang w:val="es-UY"/>
              </w:rPr>
            </w:pP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208</w:t>
            </w:r>
          </w:p>
        </w:tc>
        <w:tc>
          <w:tcPr>
            <w:tcW w:w="1405" w:type="dxa"/>
            <w:gridSpan w:val="2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</w:tr>
      <w:tr w:rsidR="00446B0D" w:rsidRPr="00165043" w:rsidTr="00976A01">
        <w:tc>
          <w:tcPr>
            <w:tcW w:w="1945" w:type="dxa"/>
            <w:gridSpan w:val="2"/>
          </w:tcPr>
          <w:p w:rsidR="00446B0D" w:rsidRPr="006363CA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6363CA">
              <w:rPr>
                <w:b/>
                <w:sz w:val="20"/>
                <w:szCs w:val="20"/>
                <w:lang w:val="es-UY"/>
              </w:rPr>
              <w:t xml:space="preserve">JUSTICIA PARA LA GENTE INDOCUMENTADA </w:t>
            </w:r>
          </w:p>
          <w:p w:rsidR="00446B0D" w:rsidRPr="003C2DC8" w:rsidRDefault="00446B0D" w:rsidP="0016791C">
            <w:pPr>
              <w:rPr>
                <w:sz w:val="20"/>
                <w:szCs w:val="20"/>
              </w:rPr>
            </w:pPr>
            <w:r w:rsidRPr="003C2DC8">
              <w:rPr>
                <w:sz w:val="20"/>
                <w:szCs w:val="20"/>
              </w:rPr>
              <w:t>(Sandra Martinez)</w:t>
            </w:r>
          </w:p>
        </w:tc>
        <w:tc>
          <w:tcPr>
            <w:tcW w:w="3306" w:type="dxa"/>
          </w:tcPr>
          <w:p w:rsidR="00446B0D" w:rsidRPr="00BD3E3C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>
              <w:rPr>
                <w:i/>
                <w:sz w:val="20"/>
                <w:szCs w:val="20"/>
                <w:lang w:val="es-UY"/>
              </w:rPr>
              <w:t>Las  gentes indocumentadas</w:t>
            </w:r>
            <w:r w:rsidRPr="006363CA">
              <w:rPr>
                <w:i/>
                <w:sz w:val="20"/>
                <w:szCs w:val="20"/>
                <w:lang w:val="es-UY"/>
              </w:rPr>
              <w:t xml:space="preserve"> enfrenta</w:t>
            </w:r>
            <w:r>
              <w:rPr>
                <w:i/>
                <w:sz w:val="20"/>
                <w:szCs w:val="20"/>
                <w:lang w:val="es-UY"/>
              </w:rPr>
              <w:t>n</w:t>
            </w:r>
            <w:r w:rsidRPr="006363CA">
              <w:rPr>
                <w:i/>
                <w:sz w:val="20"/>
                <w:szCs w:val="20"/>
                <w:lang w:val="es-UY"/>
              </w:rPr>
              <w:t xml:space="preserve"> muchas dificultades en nuestro pa</w:t>
            </w:r>
            <w:r>
              <w:rPr>
                <w:i/>
                <w:sz w:val="20"/>
                <w:szCs w:val="20"/>
                <w:lang w:val="es-UY"/>
              </w:rPr>
              <w:t>ís.</w:t>
            </w:r>
            <w:r w:rsidRPr="006363CA">
              <w:rPr>
                <w:i/>
                <w:sz w:val="20"/>
                <w:szCs w:val="20"/>
                <w:lang w:val="es-UY"/>
              </w:rPr>
              <w:t xml:space="preserve">  </w:t>
            </w:r>
            <w:r>
              <w:rPr>
                <w:i/>
                <w:sz w:val="20"/>
                <w:szCs w:val="20"/>
                <w:lang w:val="es-UY"/>
              </w:rPr>
              <w:t xml:space="preserve">Esta presentación estudiará </w:t>
            </w:r>
            <w:r w:rsidRPr="00BD3E3C">
              <w:rPr>
                <w:i/>
                <w:sz w:val="20"/>
                <w:szCs w:val="20"/>
                <w:lang w:val="es-UY"/>
              </w:rPr>
              <w:t xml:space="preserve"> cómo </w:t>
            </w:r>
            <w:r>
              <w:rPr>
                <w:i/>
                <w:sz w:val="20"/>
                <w:szCs w:val="20"/>
                <w:lang w:val="es-UY"/>
              </w:rPr>
              <w:t>las iglesias,</w:t>
            </w:r>
            <w:r w:rsidRPr="00BD3E3C">
              <w:rPr>
                <w:i/>
                <w:sz w:val="20"/>
                <w:szCs w:val="20"/>
                <w:lang w:val="es-UY"/>
              </w:rPr>
              <w:t xml:space="preserve"> actua</w:t>
            </w:r>
            <w:r>
              <w:rPr>
                <w:i/>
                <w:sz w:val="20"/>
                <w:szCs w:val="20"/>
                <w:lang w:val="es-UY"/>
              </w:rPr>
              <w:t>ndo</w:t>
            </w:r>
            <w:r w:rsidRPr="00BD3E3C">
              <w:rPr>
                <w:i/>
                <w:sz w:val="20"/>
                <w:szCs w:val="20"/>
                <w:lang w:val="es-UY"/>
              </w:rPr>
              <w:t xml:space="preserve"> con justicia y en amor</w:t>
            </w:r>
            <w:r>
              <w:rPr>
                <w:i/>
                <w:sz w:val="20"/>
                <w:szCs w:val="20"/>
                <w:lang w:val="es-UY"/>
              </w:rPr>
              <w:t>,</w:t>
            </w:r>
            <w:r w:rsidRPr="00BD3E3C">
              <w:rPr>
                <w:i/>
                <w:sz w:val="20"/>
                <w:szCs w:val="20"/>
                <w:lang w:val="es-UY"/>
              </w:rPr>
              <w:t xml:space="preserve"> </w:t>
            </w:r>
            <w:r>
              <w:rPr>
                <w:i/>
                <w:sz w:val="20"/>
                <w:szCs w:val="20"/>
                <w:lang w:val="es-UY"/>
              </w:rPr>
              <w:t>pueden</w:t>
            </w:r>
            <w:r w:rsidRPr="00BD3E3C">
              <w:rPr>
                <w:i/>
                <w:sz w:val="20"/>
                <w:szCs w:val="20"/>
                <w:lang w:val="es-UY"/>
              </w:rPr>
              <w:t xml:space="preserve"> acompañar a las perso</w:t>
            </w:r>
            <w:r>
              <w:rPr>
                <w:i/>
                <w:sz w:val="20"/>
                <w:szCs w:val="20"/>
                <w:lang w:val="es-UY"/>
              </w:rPr>
              <w:t>nas indocumentadas de nuestras congregaciones, vecindades y comunidades</w:t>
            </w:r>
            <w:r w:rsidRPr="00BD3E3C">
              <w:rPr>
                <w:i/>
                <w:sz w:val="20"/>
                <w:szCs w:val="20"/>
                <w:lang w:val="es-UY"/>
              </w:rPr>
              <w:t>.</w:t>
            </w:r>
          </w:p>
        </w:tc>
        <w:tc>
          <w:tcPr>
            <w:tcW w:w="1387" w:type="dxa"/>
            <w:gridSpan w:val="3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213</w:t>
            </w:r>
          </w:p>
        </w:tc>
        <w:tc>
          <w:tcPr>
            <w:tcW w:w="1405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213</w:t>
            </w:r>
          </w:p>
        </w:tc>
        <w:tc>
          <w:tcPr>
            <w:tcW w:w="1307" w:type="dxa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</w:tr>
      <w:tr w:rsidR="00446B0D" w:rsidRPr="00862F83" w:rsidTr="00976A01">
        <w:tc>
          <w:tcPr>
            <w:tcW w:w="1945" w:type="dxa"/>
            <w:gridSpan w:val="2"/>
          </w:tcPr>
          <w:p w:rsidR="00446B0D" w:rsidRPr="00862F83" w:rsidRDefault="00446B0D" w:rsidP="0016791C">
            <w:pPr>
              <w:rPr>
                <w:sz w:val="20"/>
                <w:szCs w:val="20"/>
                <w:lang w:val="es-UY"/>
              </w:rPr>
            </w:pPr>
            <w:r w:rsidRPr="00862F83">
              <w:rPr>
                <w:b/>
                <w:sz w:val="20"/>
                <w:szCs w:val="20"/>
                <w:lang w:val="es-UY"/>
              </w:rPr>
              <w:lastRenderedPageBreak/>
              <w:t xml:space="preserve">LA MISIÓN RURAL ESTÁ VIVA Y BIEN:  </w:t>
            </w:r>
            <w:r>
              <w:rPr>
                <w:b/>
                <w:sz w:val="20"/>
                <w:szCs w:val="20"/>
                <w:lang w:val="es-UY"/>
              </w:rPr>
              <w:t>LOS CAMINOS SE CRUZAN</w:t>
            </w:r>
            <w:r w:rsidRPr="00862F83">
              <w:rPr>
                <w:b/>
                <w:sz w:val="20"/>
                <w:szCs w:val="20"/>
                <w:lang w:val="es-UY"/>
              </w:rPr>
              <w:t xml:space="preserve"> (</w:t>
            </w:r>
            <w:proofErr w:type="spellStart"/>
            <w:r w:rsidRPr="00862F83">
              <w:rPr>
                <w:sz w:val="20"/>
                <w:szCs w:val="20"/>
                <w:lang w:val="es-UY"/>
              </w:rPr>
              <w:t>Brett</w:t>
            </w:r>
            <w:proofErr w:type="spellEnd"/>
            <w:r w:rsidRPr="00862F83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862F83">
              <w:rPr>
                <w:sz w:val="20"/>
                <w:szCs w:val="20"/>
                <w:lang w:val="es-UY"/>
              </w:rPr>
              <w:t>Klingenberg</w:t>
            </w:r>
            <w:proofErr w:type="spellEnd"/>
            <w:r w:rsidRPr="00862F83">
              <w:rPr>
                <w:sz w:val="20"/>
                <w:szCs w:val="20"/>
                <w:lang w:val="es-UY"/>
              </w:rPr>
              <w:t>)</w:t>
            </w:r>
          </w:p>
          <w:p w:rsidR="00446B0D" w:rsidRPr="00862F83" w:rsidRDefault="00446B0D" w:rsidP="0016791C">
            <w:pPr>
              <w:rPr>
                <w:b/>
                <w:sz w:val="20"/>
                <w:szCs w:val="20"/>
                <w:lang w:val="es-UY"/>
              </w:rPr>
            </w:pPr>
          </w:p>
        </w:tc>
        <w:tc>
          <w:tcPr>
            <w:tcW w:w="3306" w:type="dxa"/>
          </w:tcPr>
          <w:p w:rsidR="00446B0D" w:rsidRPr="00862F83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>
              <w:rPr>
                <w:i/>
                <w:sz w:val="20"/>
                <w:szCs w:val="20"/>
                <w:lang w:val="es-UY"/>
              </w:rPr>
              <w:t>Las iglesias rurales se hallan bien definidas por los elementos geográficos que las limitan: historia familiar, cocina tradicional y amistades de larga data. Pero cuando decrecen numéricamente, ¿cómo pueden las iglesias rurales vivir dentro de nuestros límites geográficos y recibir personas de afuera al mismo tiempo?</w:t>
            </w:r>
          </w:p>
        </w:tc>
        <w:tc>
          <w:tcPr>
            <w:tcW w:w="1387" w:type="dxa"/>
            <w:gridSpan w:val="3"/>
          </w:tcPr>
          <w:p w:rsidR="00446B0D" w:rsidRPr="00862F83" w:rsidRDefault="00446B0D" w:rsidP="0016791C">
            <w:pPr>
              <w:rPr>
                <w:sz w:val="20"/>
                <w:szCs w:val="20"/>
                <w:lang w:val="es-UY"/>
              </w:rPr>
            </w:pPr>
            <w:proofErr w:type="spellStart"/>
            <w:r w:rsidRPr="00862F83">
              <w:rPr>
                <w:sz w:val="20"/>
                <w:szCs w:val="20"/>
                <w:lang w:val="es-UY"/>
              </w:rPr>
              <w:t>Rm</w:t>
            </w:r>
            <w:proofErr w:type="spellEnd"/>
            <w:r w:rsidRPr="00862F83">
              <w:rPr>
                <w:sz w:val="20"/>
                <w:szCs w:val="20"/>
                <w:lang w:val="es-UY"/>
              </w:rPr>
              <w:t xml:space="preserve"> 216</w:t>
            </w:r>
          </w:p>
        </w:tc>
        <w:tc>
          <w:tcPr>
            <w:tcW w:w="1405" w:type="dxa"/>
            <w:gridSpan w:val="2"/>
            <w:shd w:val="clear" w:color="auto" w:fill="E7E6E6" w:themeFill="background2"/>
          </w:tcPr>
          <w:p w:rsidR="00446B0D" w:rsidRPr="00862F83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307" w:type="dxa"/>
          </w:tcPr>
          <w:p w:rsidR="00446B0D" w:rsidRPr="00862F83" w:rsidRDefault="00446B0D" w:rsidP="0016791C">
            <w:pPr>
              <w:rPr>
                <w:sz w:val="20"/>
                <w:szCs w:val="20"/>
                <w:lang w:val="es-UY"/>
              </w:rPr>
            </w:pPr>
            <w:proofErr w:type="spellStart"/>
            <w:r w:rsidRPr="00862F83">
              <w:rPr>
                <w:sz w:val="20"/>
                <w:szCs w:val="20"/>
                <w:lang w:val="es-UY"/>
              </w:rPr>
              <w:t>Rm</w:t>
            </w:r>
            <w:proofErr w:type="spellEnd"/>
            <w:r w:rsidRPr="00862F83">
              <w:rPr>
                <w:sz w:val="20"/>
                <w:szCs w:val="20"/>
                <w:lang w:val="es-UY"/>
              </w:rPr>
              <w:t xml:space="preserve"> 216</w:t>
            </w:r>
          </w:p>
        </w:tc>
      </w:tr>
      <w:tr w:rsidR="00446B0D" w:rsidRPr="00165043" w:rsidTr="00976A01">
        <w:tc>
          <w:tcPr>
            <w:tcW w:w="1902" w:type="dxa"/>
          </w:tcPr>
          <w:p w:rsidR="00446B0D" w:rsidRPr="00FF48F6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FF48F6">
              <w:rPr>
                <w:b/>
                <w:sz w:val="20"/>
                <w:szCs w:val="20"/>
                <w:lang w:val="es-UY"/>
              </w:rPr>
              <w:t>EVERENCE:  EL PODER DE LA NARRATIVA (</w:t>
            </w:r>
            <w:r w:rsidRPr="00FF48F6">
              <w:rPr>
                <w:sz w:val="20"/>
                <w:szCs w:val="20"/>
                <w:lang w:val="es-UY"/>
              </w:rPr>
              <w:t xml:space="preserve">Mitch </w:t>
            </w:r>
            <w:proofErr w:type="spellStart"/>
            <w:r w:rsidRPr="00FF48F6">
              <w:rPr>
                <w:sz w:val="20"/>
                <w:szCs w:val="20"/>
                <w:lang w:val="es-UY"/>
              </w:rPr>
              <w:t>Stutzman</w:t>
            </w:r>
            <w:proofErr w:type="spellEnd"/>
            <w:r w:rsidRPr="00FF48F6">
              <w:rPr>
                <w:sz w:val="20"/>
                <w:szCs w:val="20"/>
                <w:lang w:val="es-UY"/>
              </w:rPr>
              <w:t>)</w:t>
            </w:r>
          </w:p>
        </w:tc>
        <w:tc>
          <w:tcPr>
            <w:tcW w:w="3366" w:type="dxa"/>
            <w:gridSpan w:val="3"/>
          </w:tcPr>
          <w:p w:rsidR="00446B0D" w:rsidRPr="00B76008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 w:rsidRPr="00FF48F6">
              <w:rPr>
                <w:i/>
                <w:sz w:val="20"/>
                <w:szCs w:val="20"/>
                <w:lang w:val="es-UY"/>
              </w:rPr>
              <w:t>Esta presentaci</w:t>
            </w:r>
            <w:r>
              <w:rPr>
                <w:i/>
                <w:sz w:val="20"/>
                <w:szCs w:val="20"/>
                <w:lang w:val="es-UY"/>
              </w:rPr>
              <w:t xml:space="preserve">ón se refiere a </w:t>
            </w:r>
            <w:r w:rsidRPr="00FF48F6">
              <w:rPr>
                <w:i/>
                <w:sz w:val="20"/>
                <w:szCs w:val="20"/>
                <w:lang w:val="es-UY"/>
              </w:rPr>
              <w:t>la</w:t>
            </w:r>
            <w:r>
              <w:rPr>
                <w:i/>
                <w:sz w:val="20"/>
                <w:szCs w:val="20"/>
                <w:lang w:val="es-UY"/>
              </w:rPr>
              <w:t>s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 </w:t>
            </w:r>
            <w:r>
              <w:rPr>
                <w:i/>
                <w:sz w:val="20"/>
                <w:szCs w:val="20"/>
                <w:lang w:val="es-UY"/>
              </w:rPr>
              <w:t>historias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 como elementos necesarios</w:t>
            </w:r>
            <w:r>
              <w:rPr>
                <w:i/>
                <w:sz w:val="20"/>
                <w:szCs w:val="20"/>
                <w:lang w:val="es-UY"/>
              </w:rPr>
              <w:t>.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  Podemos decidir emplear </w:t>
            </w:r>
            <w:r>
              <w:rPr>
                <w:i/>
                <w:sz w:val="20"/>
                <w:szCs w:val="20"/>
                <w:lang w:val="es-UY"/>
              </w:rPr>
              <w:t xml:space="preserve">las 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nuestras </w:t>
            </w:r>
            <w:r>
              <w:rPr>
                <w:i/>
                <w:sz w:val="20"/>
                <w:szCs w:val="20"/>
                <w:lang w:val="es-UY"/>
              </w:rPr>
              <w:t xml:space="preserve">para 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 avanzar el reino de Dios y caminar con otros, o elegir </w:t>
            </w:r>
            <w:r>
              <w:rPr>
                <w:i/>
                <w:sz w:val="20"/>
                <w:szCs w:val="20"/>
                <w:lang w:val="es-UY"/>
              </w:rPr>
              <w:t>guardarlas</w:t>
            </w:r>
            <w:r w:rsidRPr="00FF48F6">
              <w:rPr>
                <w:i/>
                <w:sz w:val="20"/>
                <w:szCs w:val="20"/>
                <w:lang w:val="es-UY"/>
              </w:rPr>
              <w:t xml:space="preserve"> para nosotros mismos. </w:t>
            </w:r>
            <w:r w:rsidRPr="00B76008">
              <w:rPr>
                <w:i/>
                <w:sz w:val="20"/>
                <w:szCs w:val="20"/>
                <w:lang w:val="es-UY"/>
              </w:rPr>
              <w:t>La presentación enfoca el uso de nuestro testimonio</w:t>
            </w:r>
            <w:proofErr w:type="gramStart"/>
            <w:r>
              <w:rPr>
                <w:i/>
                <w:sz w:val="20"/>
                <w:szCs w:val="20"/>
                <w:lang w:val="es-UY"/>
              </w:rPr>
              <w:t>.</w:t>
            </w:r>
            <w:r w:rsidRPr="00B76008">
              <w:rPr>
                <w:i/>
                <w:sz w:val="20"/>
                <w:szCs w:val="20"/>
                <w:lang w:val="es-UY"/>
              </w:rPr>
              <w:t>.</w:t>
            </w:r>
            <w:proofErr w:type="gramEnd"/>
          </w:p>
        </w:tc>
        <w:tc>
          <w:tcPr>
            <w:tcW w:w="1333" w:type="dxa"/>
            <w:shd w:val="clear" w:color="auto" w:fill="E7E6E6" w:themeFill="background2"/>
          </w:tcPr>
          <w:p w:rsidR="00446B0D" w:rsidRPr="00B76008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429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208</w:t>
            </w:r>
          </w:p>
        </w:tc>
        <w:tc>
          <w:tcPr>
            <w:tcW w:w="1320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208</w:t>
            </w:r>
          </w:p>
        </w:tc>
      </w:tr>
      <w:tr w:rsidR="00446B0D" w:rsidRPr="00165043" w:rsidTr="00976A01">
        <w:tc>
          <w:tcPr>
            <w:tcW w:w="1902" w:type="dxa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VISITA AL MUSEO KAUFFMAN</w:t>
            </w:r>
          </w:p>
          <w:p w:rsidR="00446B0D" w:rsidRPr="006572B0" w:rsidRDefault="006572B0" w:rsidP="0016791C">
            <w:pPr>
              <w:rPr>
                <w:sz w:val="20"/>
                <w:szCs w:val="20"/>
              </w:rPr>
            </w:pPr>
            <w:r w:rsidRPr="006572B0">
              <w:rPr>
                <w:sz w:val="20"/>
                <w:szCs w:val="20"/>
              </w:rPr>
              <w:t>(</w:t>
            </w:r>
            <w:proofErr w:type="spellStart"/>
            <w:r w:rsidRPr="006572B0">
              <w:rPr>
                <w:sz w:val="20"/>
                <w:szCs w:val="20"/>
              </w:rPr>
              <w:t>Diles</w:t>
            </w:r>
            <w:proofErr w:type="spellEnd"/>
            <w:r w:rsidRPr="006572B0">
              <w:rPr>
                <w:sz w:val="20"/>
                <w:szCs w:val="20"/>
              </w:rPr>
              <w:t xml:space="preserve"> que </w:t>
            </w:r>
            <w:proofErr w:type="spellStart"/>
            <w:r w:rsidRPr="006572B0">
              <w:rPr>
                <w:sz w:val="20"/>
                <w:szCs w:val="20"/>
              </w:rPr>
              <w:t>est</w:t>
            </w:r>
            <w:r w:rsidRPr="006572B0">
              <w:rPr>
                <w:rFonts w:ascii="Candara" w:hAnsi="Candara"/>
                <w:sz w:val="20"/>
                <w:szCs w:val="20"/>
              </w:rPr>
              <w:t>á</w:t>
            </w:r>
            <w:r w:rsidRPr="006572B0">
              <w:rPr>
                <w:sz w:val="20"/>
                <w:szCs w:val="20"/>
              </w:rPr>
              <w:t>s</w:t>
            </w:r>
            <w:proofErr w:type="spellEnd"/>
            <w:r w:rsidRPr="006572B0">
              <w:rPr>
                <w:sz w:val="20"/>
                <w:szCs w:val="20"/>
              </w:rPr>
              <w:t xml:space="preserve"> con WDC </w:t>
            </w:r>
            <w:proofErr w:type="spellStart"/>
            <w:r w:rsidRPr="006572B0">
              <w:rPr>
                <w:sz w:val="20"/>
                <w:szCs w:val="20"/>
              </w:rPr>
              <w:t>Asamblea</w:t>
            </w:r>
            <w:proofErr w:type="spellEnd"/>
            <w:r w:rsidRPr="006572B0">
              <w:rPr>
                <w:sz w:val="20"/>
                <w:szCs w:val="20"/>
              </w:rPr>
              <w:t xml:space="preserve"> Annual, hay </w:t>
            </w:r>
            <w:proofErr w:type="spellStart"/>
            <w:r w:rsidRPr="006572B0">
              <w:rPr>
                <w:sz w:val="20"/>
                <w:szCs w:val="20"/>
              </w:rPr>
              <w:t>tarifa</w:t>
            </w:r>
            <w:proofErr w:type="spellEnd"/>
            <w:r w:rsidRPr="006572B0">
              <w:rPr>
                <w:sz w:val="20"/>
                <w:szCs w:val="20"/>
              </w:rPr>
              <w:t xml:space="preserve"> de entrada)</w:t>
            </w:r>
          </w:p>
        </w:tc>
        <w:tc>
          <w:tcPr>
            <w:tcW w:w="3366" w:type="dxa"/>
            <w:gridSpan w:val="3"/>
          </w:tcPr>
          <w:p w:rsidR="00446B0D" w:rsidRPr="008B2D36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 w:rsidRPr="008B2D36">
              <w:rPr>
                <w:i/>
                <w:sz w:val="20"/>
                <w:szCs w:val="20"/>
                <w:lang w:val="es-UY"/>
              </w:rPr>
              <w:t xml:space="preserve">El Museo </w:t>
            </w:r>
            <w:proofErr w:type="spellStart"/>
            <w:r w:rsidRPr="008B2D36">
              <w:rPr>
                <w:i/>
                <w:sz w:val="20"/>
                <w:szCs w:val="20"/>
                <w:lang w:val="es-UY"/>
              </w:rPr>
              <w:t>Kauffman</w:t>
            </w:r>
            <w:proofErr w:type="spellEnd"/>
            <w:r w:rsidRPr="008B2D36">
              <w:rPr>
                <w:i/>
                <w:sz w:val="20"/>
                <w:szCs w:val="20"/>
                <w:lang w:val="es-UY"/>
              </w:rPr>
              <w:t xml:space="preserve"> constituye un tesoro local. </w:t>
            </w:r>
            <w:r w:rsidRPr="00B76008">
              <w:rPr>
                <w:i/>
                <w:sz w:val="20"/>
                <w:szCs w:val="20"/>
                <w:lang w:val="es-UY"/>
              </w:rPr>
              <w:t xml:space="preserve">Habrá un programa en audiovisual  como introducción a las 2:35, una demostración de órgano a las 2:45 y luego tiempo libre para </w:t>
            </w:r>
            <w:r>
              <w:rPr>
                <w:i/>
                <w:sz w:val="20"/>
                <w:szCs w:val="20"/>
                <w:lang w:val="es-UY"/>
              </w:rPr>
              <w:t>explorar</w:t>
            </w:r>
            <w:r w:rsidRPr="00B76008">
              <w:rPr>
                <w:i/>
                <w:sz w:val="20"/>
                <w:szCs w:val="20"/>
                <w:lang w:val="es-UY"/>
              </w:rPr>
              <w:t xml:space="preserve"> la gran riqueza del museo</w:t>
            </w:r>
            <w:proofErr w:type="gramStart"/>
            <w:r w:rsidRPr="00B76008">
              <w:rPr>
                <w:i/>
                <w:sz w:val="20"/>
                <w:szCs w:val="20"/>
                <w:lang w:val="es-UY"/>
              </w:rPr>
              <w:t>!</w:t>
            </w:r>
            <w:proofErr w:type="gramEnd"/>
            <w:r w:rsidRPr="00B76008">
              <w:rPr>
                <w:i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1333" w:type="dxa"/>
            <w:shd w:val="clear" w:color="auto" w:fill="E7E6E6" w:themeFill="background2"/>
          </w:tcPr>
          <w:p w:rsidR="00446B0D" w:rsidRPr="008B2D36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429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B76008">
              <w:rPr>
                <w:sz w:val="20"/>
                <w:szCs w:val="20"/>
                <w:lang w:val="es-UY"/>
              </w:rPr>
              <w:t xml:space="preserve">El museo está ubicado al sur de </w:t>
            </w:r>
            <w:proofErr w:type="spellStart"/>
            <w:r w:rsidRPr="00B76008">
              <w:rPr>
                <w:sz w:val="20"/>
                <w:szCs w:val="20"/>
                <w:lang w:val="es-UY"/>
              </w:rPr>
              <w:t>Bethel</w:t>
            </w:r>
            <w:proofErr w:type="spellEnd"/>
            <w:r w:rsidRPr="00B76008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B76008">
              <w:rPr>
                <w:sz w:val="20"/>
                <w:szCs w:val="20"/>
                <w:lang w:val="es-UY"/>
              </w:rPr>
              <w:t>College</w:t>
            </w:r>
            <w:proofErr w:type="spellEnd"/>
            <w:r w:rsidRPr="00B76008">
              <w:rPr>
                <w:sz w:val="20"/>
                <w:szCs w:val="20"/>
                <w:lang w:val="es-UY"/>
              </w:rPr>
              <w:t xml:space="preserve">, cruzando </w:t>
            </w:r>
            <w:proofErr w:type="spellStart"/>
            <w:r w:rsidRPr="00B76008">
              <w:rPr>
                <w:sz w:val="20"/>
                <w:szCs w:val="20"/>
                <w:lang w:val="es-UY"/>
              </w:rPr>
              <w:t>Main</w:t>
            </w:r>
            <w:proofErr w:type="spellEnd"/>
            <w:r w:rsidRPr="00B76008">
              <w:rPr>
                <w:sz w:val="20"/>
                <w:szCs w:val="20"/>
                <w:lang w:val="es-UY"/>
              </w:rPr>
              <w:t xml:space="preserve"> Street. </w:t>
            </w:r>
          </w:p>
        </w:tc>
        <w:tc>
          <w:tcPr>
            <w:tcW w:w="1320" w:type="dxa"/>
            <w:gridSpan w:val="2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</w:tr>
      <w:tr w:rsidR="00446B0D" w:rsidRPr="00165043" w:rsidTr="00976A01">
        <w:tc>
          <w:tcPr>
            <w:tcW w:w="1902" w:type="dxa"/>
          </w:tcPr>
          <w:p w:rsidR="00446B0D" w:rsidRPr="00320FEA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320FEA">
              <w:rPr>
                <w:b/>
                <w:sz w:val="20"/>
                <w:szCs w:val="20"/>
                <w:lang w:val="es-UY"/>
              </w:rPr>
              <w:t xml:space="preserve">LA MISIÓN RURAL ESTÁ VIVA Y BIEN: </w:t>
            </w:r>
            <w:r>
              <w:rPr>
                <w:b/>
                <w:sz w:val="20"/>
                <w:szCs w:val="20"/>
                <w:lang w:val="es-UY"/>
              </w:rPr>
              <w:t>EL</w:t>
            </w:r>
            <w:r w:rsidRPr="00320FEA">
              <w:rPr>
                <w:b/>
                <w:sz w:val="20"/>
                <w:szCs w:val="20"/>
                <w:lang w:val="es-UY"/>
              </w:rPr>
              <w:t xml:space="preserve"> PUMPKIN PATCH MISIONAL </w:t>
            </w:r>
            <w:r w:rsidRPr="00320FEA">
              <w:rPr>
                <w:sz w:val="20"/>
                <w:szCs w:val="20"/>
                <w:lang w:val="es-UY"/>
              </w:rPr>
              <w:t>(</w:t>
            </w:r>
            <w:proofErr w:type="spellStart"/>
            <w:r w:rsidRPr="00320FEA">
              <w:rPr>
                <w:sz w:val="20"/>
                <w:szCs w:val="20"/>
                <w:lang w:val="es-UY"/>
              </w:rPr>
              <w:t>Kristi</w:t>
            </w:r>
            <w:proofErr w:type="spellEnd"/>
            <w:r w:rsidRPr="00320FEA">
              <w:rPr>
                <w:sz w:val="20"/>
                <w:szCs w:val="20"/>
                <w:lang w:val="es-UY"/>
              </w:rPr>
              <w:t xml:space="preserve"> &amp; Brandon </w:t>
            </w:r>
            <w:proofErr w:type="spellStart"/>
            <w:r w:rsidRPr="00320FEA">
              <w:rPr>
                <w:sz w:val="20"/>
                <w:szCs w:val="20"/>
                <w:lang w:val="es-UY"/>
              </w:rPr>
              <w:t>Unruh</w:t>
            </w:r>
            <w:proofErr w:type="spellEnd"/>
            <w:r w:rsidRPr="00320FEA">
              <w:rPr>
                <w:sz w:val="20"/>
                <w:szCs w:val="20"/>
                <w:lang w:val="es-UY"/>
              </w:rPr>
              <w:t xml:space="preserve">, </w:t>
            </w:r>
            <w:proofErr w:type="spellStart"/>
            <w:r w:rsidRPr="00320FEA">
              <w:rPr>
                <w:sz w:val="20"/>
                <w:szCs w:val="20"/>
                <w:lang w:val="es-UY"/>
              </w:rPr>
              <w:t>Brett</w:t>
            </w:r>
            <w:proofErr w:type="spellEnd"/>
            <w:r w:rsidRPr="00320FEA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320FEA">
              <w:rPr>
                <w:sz w:val="20"/>
                <w:szCs w:val="20"/>
                <w:lang w:val="es-UY"/>
              </w:rPr>
              <w:t>Klingenberg</w:t>
            </w:r>
            <w:proofErr w:type="spellEnd"/>
            <w:r w:rsidRPr="00320FEA">
              <w:rPr>
                <w:sz w:val="20"/>
                <w:szCs w:val="20"/>
                <w:lang w:val="es-UY"/>
              </w:rPr>
              <w:t>)</w:t>
            </w:r>
          </w:p>
        </w:tc>
        <w:tc>
          <w:tcPr>
            <w:tcW w:w="3366" w:type="dxa"/>
            <w:gridSpan w:val="3"/>
          </w:tcPr>
          <w:p w:rsidR="00446B0D" w:rsidRPr="001E3367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 w:rsidRPr="001E3367">
              <w:rPr>
                <w:i/>
                <w:sz w:val="20"/>
                <w:szCs w:val="20"/>
                <w:lang w:val="es-UY"/>
              </w:rPr>
              <w:t xml:space="preserve">La familia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Unruh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compartirá su experiencia – cómo Dios les ha guiado a realizar una tarea misional creativa por medio de su </w:t>
            </w:r>
            <w:r>
              <w:rPr>
                <w:i/>
                <w:sz w:val="20"/>
                <w:szCs w:val="20"/>
                <w:lang w:val="es-UY"/>
              </w:rPr>
              <w:t>“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pumpkin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patch</w:t>
            </w:r>
            <w:proofErr w:type="spellEnd"/>
            <w:r>
              <w:rPr>
                <w:i/>
                <w:sz w:val="20"/>
                <w:szCs w:val="20"/>
                <w:lang w:val="es-UY"/>
              </w:rPr>
              <w:t>”.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Brett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Klingenberg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se unir</w:t>
            </w:r>
            <w:r>
              <w:rPr>
                <w:i/>
                <w:sz w:val="20"/>
                <w:szCs w:val="20"/>
                <w:lang w:val="es-UY"/>
              </w:rPr>
              <w:t>á a ellos para dirigir la discusión en grupos</w:t>
            </w:r>
            <w:r w:rsidRPr="001E3367">
              <w:rPr>
                <w:i/>
                <w:sz w:val="20"/>
                <w:szCs w:val="20"/>
                <w:lang w:val="es-UY"/>
              </w:rPr>
              <w:t>.</w:t>
            </w:r>
          </w:p>
        </w:tc>
        <w:tc>
          <w:tcPr>
            <w:tcW w:w="1333" w:type="dxa"/>
            <w:shd w:val="clear" w:color="auto" w:fill="E7E6E6" w:themeFill="background2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429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216</w:t>
            </w:r>
          </w:p>
        </w:tc>
        <w:tc>
          <w:tcPr>
            <w:tcW w:w="1320" w:type="dxa"/>
            <w:gridSpan w:val="2"/>
            <w:shd w:val="clear" w:color="auto" w:fill="E7E6E6" w:themeFill="background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</w:p>
        </w:tc>
      </w:tr>
      <w:tr w:rsidR="00446B0D" w:rsidRPr="00165043" w:rsidTr="00976A01">
        <w:tc>
          <w:tcPr>
            <w:tcW w:w="1902" w:type="dxa"/>
          </w:tcPr>
          <w:p w:rsidR="00446B0D" w:rsidRPr="001E3367" w:rsidRDefault="00446B0D" w:rsidP="0016791C">
            <w:pPr>
              <w:rPr>
                <w:b/>
                <w:sz w:val="20"/>
                <w:szCs w:val="20"/>
                <w:lang w:val="es-UY"/>
              </w:rPr>
            </w:pPr>
            <w:r w:rsidRPr="001E3367">
              <w:rPr>
                <w:b/>
                <w:sz w:val="20"/>
                <w:szCs w:val="20"/>
                <w:lang w:val="es-UY"/>
              </w:rPr>
              <w:t>HISTORIA JUDÍA: UNA VENTANA A LA VIDA MENONITA (</w:t>
            </w:r>
            <w:proofErr w:type="spellStart"/>
            <w:r w:rsidRPr="001E3367">
              <w:rPr>
                <w:sz w:val="20"/>
                <w:szCs w:val="20"/>
                <w:lang w:val="es-UY"/>
              </w:rPr>
              <w:t>Ryan</w:t>
            </w:r>
            <w:proofErr w:type="spellEnd"/>
            <w:r w:rsidRPr="001E3367">
              <w:rPr>
                <w:sz w:val="20"/>
                <w:szCs w:val="20"/>
                <w:lang w:val="es-UY"/>
              </w:rPr>
              <w:t xml:space="preserve"> Koch)</w:t>
            </w:r>
          </w:p>
        </w:tc>
        <w:tc>
          <w:tcPr>
            <w:tcW w:w="3366" w:type="dxa"/>
            <w:gridSpan w:val="3"/>
          </w:tcPr>
          <w:p w:rsidR="00446B0D" w:rsidRPr="001E3367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>
              <w:rPr>
                <w:i/>
                <w:sz w:val="20"/>
                <w:szCs w:val="20"/>
                <w:lang w:val="es-UY"/>
              </w:rPr>
              <w:t>En el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verano pasado, 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Ryan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dedicó parte de su sabático para </w:t>
            </w:r>
            <w:r>
              <w:rPr>
                <w:i/>
                <w:sz w:val="20"/>
                <w:szCs w:val="20"/>
                <w:lang w:val="es-UY"/>
              </w:rPr>
              <w:t>explora</w:t>
            </w:r>
            <w:r w:rsidRPr="001E3367">
              <w:rPr>
                <w:i/>
                <w:sz w:val="20"/>
                <w:szCs w:val="20"/>
                <w:lang w:val="es-UY"/>
              </w:rPr>
              <w:t>r</w:t>
            </w:r>
            <w:r>
              <w:rPr>
                <w:i/>
                <w:sz w:val="20"/>
                <w:szCs w:val="20"/>
                <w:lang w:val="es-UY"/>
              </w:rPr>
              <w:t xml:space="preserve"> las estructuras paralelas de J</w:t>
            </w:r>
            <w:r w:rsidRPr="001E3367">
              <w:rPr>
                <w:i/>
                <w:sz w:val="20"/>
                <w:szCs w:val="20"/>
                <w:lang w:val="es-UY"/>
              </w:rPr>
              <w:t>ud</w:t>
            </w:r>
            <w:r>
              <w:rPr>
                <w:i/>
                <w:sz w:val="20"/>
                <w:szCs w:val="20"/>
                <w:lang w:val="es-UY"/>
              </w:rPr>
              <w:t>íos y Menonitas en el comienzo del período moderno.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Esta </w:t>
            </w:r>
            <w:r>
              <w:rPr>
                <w:i/>
                <w:sz w:val="20"/>
                <w:szCs w:val="20"/>
                <w:lang w:val="es-UY"/>
              </w:rPr>
              <w:t>ses</w:t>
            </w:r>
            <w:r w:rsidRPr="001E3367">
              <w:rPr>
                <w:i/>
                <w:sz w:val="20"/>
                <w:szCs w:val="20"/>
                <w:lang w:val="es-UY"/>
              </w:rPr>
              <w:t>i</w:t>
            </w:r>
            <w:r>
              <w:rPr>
                <w:i/>
                <w:sz w:val="20"/>
                <w:szCs w:val="20"/>
                <w:lang w:val="es-UY"/>
              </w:rPr>
              <w:t>ó</w:t>
            </w:r>
            <w:r w:rsidRPr="001E3367">
              <w:rPr>
                <w:i/>
                <w:sz w:val="20"/>
                <w:szCs w:val="20"/>
                <w:lang w:val="es-UY"/>
              </w:rPr>
              <w:t>n explorará cómo entra</w:t>
            </w:r>
            <w:r>
              <w:rPr>
                <w:i/>
                <w:sz w:val="20"/>
                <w:szCs w:val="20"/>
                <w:lang w:val="es-UY"/>
              </w:rPr>
              <w:t xml:space="preserve">r 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en la historia de los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Judios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puede </w:t>
            </w:r>
            <w:r>
              <w:rPr>
                <w:i/>
                <w:sz w:val="20"/>
                <w:szCs w:val="20"/>
                <w:lang w:val="es-UY"/>
              </w:rPr>
              <w:t>ayudarnos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para entender la vida diaria de los </w:t>
            </w:r>
            <w:r>
              <w:rPr>
                <w:i/>
                <w:sz w:val="20"/>
                <w:szCs w:val="20"/>
                <w:lang w:val="es-UY"/>
              </w:rPr>
              <w:t xml:space="preserve">primeros </w:t>
            </w:r>
            <w:proofErr w:type="spellStart"/>
            <w:r>
              <w:rPr>
                <w:i/>
                <w:sz w:val="20"/>
                <w:szCs w:val="20"/>
                <w:lang w:val="es-UY"/>
              </w:rPr>
              <w:t>Anabautistas</w:t>
            </w:r>
            <w:proofErr w:type="spellEnd"/>
            <w:r>
              <w:rPr>
                <w:i/>
                <w:sz w:val="20"/>
                <w:szCs w:val="20"/>
                <w:lang w:val="es-UY"/>
              </w:rPr>
              <w:t xml:space="preserve">/Menonitas </w:t>
            </w:r>
            <w:proofErr w:type="gramStart"/>
            <w:r>
              <w:rPr>
                <w:i/>
                <w:sz w:val="20"/>
                <w:szCs w:val="20"/>
                <w:lang w:val="es-UY"/>
              </w:rPr>
              <w:t xml:space="preserve">europeos 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.</w:t>
            </w:r>
            <w:proofErr w:type="gramEnd"/>
          </w:p>
        </w:tc>
        <w:tc>
          <w:tcPr>
            <w:tcW w:w="1333" w:type="dxa"/>
            <w:shd w:val="clear" w:color="auto" w:fill="E7E6E6" w:themeFill="background2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429" w:type="dxa"/>
            <w:gridSpan w:val="2"/>
            <w:shd w:val="clear" w:color="auto" w:fill="E7E6E6" w:themeFill="background2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320" w:type="dxa"/>
            <w:gridSpan w:val="2"/>
          </w:tcPr>
          <w:p w:rsidR="00446B0D" w:rsidRPr="00165043" w:rsidRDefault="00446B0D" w:rsidP="0016791C">
            <w:pPr>
              <w:rPr>
                <w:sz w:val="20"/>
                <w:szCs w:val="20"/>
              </w:rPr>
            </w:pPr>
            <w:r w:rsidRPr="00165043">
              <w:rPr>
                <w:sz w:val="20"/>
                <w:szCs w:val="20"/>
              </w:rPr>
              <w:t>Rm 213</w:t>
            </w:r>
          </w:p>
        </w:tc>
      </w:tr>
      <w:tr w:rsidR="00446B0D" w:rsidRPr="00536424" w:rsidTr="00976A01">
        <w:tc>
          <w:tcPr>
            <w:tcW w:w="1902" w:type="dxa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  <w:r w:rsidRPr="001E3367">
              <w:rPr>
                <w:b/>
                <w:sz w:val="20"/>
                <w:szCs w:val="20"/>
                <w:lang w:val="es-UY"/>
              </w:rPr>
              <w:t>CAMINATA EN EL BOSQUE (</w:t>
            </w:r>
            <w:r w:rsidRPr="001E3367">
              <w:rPr>
                <w:sz w:val="20"/>
                <w:szCs w:val="20"/>
                <w:lang w:val="es-UY"/>
              </w:rPr>
              <w:t xml:space="preserve">Richard </w:t>
            </w:r>
            <w:proofErr w:type="spellStart"/>
            <w:r w:rsidRPr="001E3367">
              <w:rPr>
                <w:sz w:val="20"/>
                <w:szCs w:val="20"/>
                <w:lang w:val="es-UY"/>
              </w:rPr>
              <w:t>Rempel</w:t>
            </w:r>
            <w:proofErr w:type="spellEnd"/>
            <w:r w:rsidRPr="001E3367">
              <w:rPr>
                <w:sz w:val="20"/>
                <w:szCs w:val="20"/>
                <w:lang w:val="es-UY"/>
              </w:rPr>
              <w:t>)</w:t>
            </w:r>
          </w:p>
        </w:tc>
        <w:tc>
          <w:tcPr>
            <w:tcW w:w="3366" w:type="dxa"/>
            <w:gridSpan w:val="3"/>
          </w:tcPr>
          <w:p w:rsidR="00446B0D" w:rsidRPr="001E3367" w:rsidRDefault="00446B0D" w:rsidP="0016791C">
            <w:pPr>
              <w:rPr>
                <w:i/>
                <w:sz w:val="20"/>
                <w:szCs w:val="20"/>
                <w:lang w:val="es-UY"/>
              </w:rPr>
            </w:pPr>
            <w:r w:rsidRPr="001E3367">
              <w:rPr>
                <w:i/>
                <w:sz w:val="20"/>
                <w:szCs w:val="20"/>
                <w:lang w:val="es-UY"/>
              </w:rPr>
              <w:t xml:space="preserve">El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Sand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Creek </w:t>
            </w:r>
            <w:proofErr w:type="spellStart"/>
            <w:r w:rsidRPr="001E3367">
              <w:rPr>
                <w:i/>
                <w:sz w:val="20"/>
                <w:szCs w:val="20"/>
                <w:lang w:val="es-UY"/>
              </w:rPr>
              <w:t>Trail</w:t>
            </w:r>
            <w:proofErr w:type="spellEnd"/>
            <w:r w:rsidRPr="001E3367">
              <w:rPr>
                <w:i/>
                <w:sz w:val="20"/>
                <w:szCs w:val="20"/>
                <w:lang w:val="es-UY"/>
              </w:rPr>
              <w:t xml:space="preserve"> </w:t>
            </w:r>
            <w:r>
              <w:rPr>
                <w:i/>
                <w:sz w:val="20"/>
                <w:szCs w:val="20"/>
                <w:lang w:val="es-UY"/>
              </w:rPr>
              <w:t>fue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designado Sendero Regional Recreativo por el Departamento del Interior de </w:t>
            </w:r>
            <w:r>
              <w:rPr>
                <w:i/>
                <w:sz w:val="20"/>
                <w:szCs w:val="20"/>
                <w:lang w:val="es-UY"/>
              </w:rPr>
              <w:t>EE.UU.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 Exploren el sender</w:t>
            </w:r>
            <w:r>
              <w:rPr>
                <w:i/>
                <w:sz w:val="20"/>
                <w:szCs w:val="20"/>
                <w:lang w:val="es-UY"/>
              </w:rPr>
              <w:t xml:space="preserve">o, 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 escuchen su historia, </w:t>
            </w:r>
            <w:r>
              <w:rPr>
                <w:i/>
                <w:sz w:val="20"/>
                <w:szCs w:val="20"/>
                <w:lang w:val="es-UY"/>
              </w:rPr>
              <w:t xml:space="preserve">y </w:t>
            </w:r>
            <w:r w:rsidRPr="001E3367">
              <w:rPr>
                <w:i/>
                <w:sz w:val="20"/>
                <w:szCs w:val="20"/>
                <w:lang w:val="es-UY"/>
              </w:rPr>
              <w:t>ve</w:t>
            </w:r>
            <w:r>
              <w:rPr>
                <w:i/>
                <w:sz w:val="20"/>
                <w:szCs w:val="20"/>
                <w:lang w:val="es-UY"/>
              </w:rPr>
              <w:t>a</w:t>
            </w:r>
            <w:r w:rsidRPr="001E3367">
              <w:rPr>
                <w:i/>
                <w:sz w:val="20"/>
                <w:szCs w:val="20"/>
                <w:lang w:val="es-UY"/>
              </w:rPr>
              <w:t xml:space="preserve">n las plantas y </w:t>
            </w:r>
            <w:r>
              <w:rPr>
                <w:i/>
                <w:sz w:val="20"/>
                <w:szCs w:val="20"/>
                <w:lang w:val="es-UY"/>
              </w:rPr>
              <w:t xml:space="preserve">los </w:t>
            </w:r>
            <w:r w:rsidRPr="001E3367">
              <w:rPr>
                <w:i/>
                <w:sz w:val="20"/>
                <w:szCs w:val="20"/>
                <w:lang w:val="es-UY"/>
              </w:rPr>
              <w:t>animales.</w:t>
            </w:r>
          </w:p>
        </w:tc>
        <w:tc>
          <w:tcPr>
            <w:tcW w:w="1333" w:type="dxa"/>
            <w:shd w:val="clear" w:color="auto" w:fill="E7E6E6" w:themeFill="background2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429" w:type="dxa"/>
            <w:gridSpan w:val="2"/>
            <w:shd w:val="clear" w:color="auto" w:fill="E7E6E6" w:themeFill="background2"/>
          </w:tcPr>
          <w:p w:rsidR="00446B0D" w:rsidRPr="001E3367" w:rsidRDefault="00446B0D" w:rsidP="0016791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1320" w:type="dxa"/>
            <w:gridSpan w:val="2"/>
          </w:tcPr>
          <w:p w:rsidR="00446B0D" w:rsidRPr="00536424" w:rsidRDefault="006572B0" w:rsidP="0016791C">
            <w:pPr>
              <w:rPr>
                <w:sz w:val="20"/>
                <w:szCs w:val="20"/>
                <w:lang w:val="es-UY"/>
              </w:rPr>
            </w:pPr>
            <w:r>
              <w:rPr>
                <w:sz w:val="20"/>
                <w:szCs w:val="20"/>
                <w:lang w:val="es-UY"/>
              </w:rPr>
              <w:t xml:space="preserve">Sendero se encuentra al norte de </w:t>
            </w:r>
            <w:proofErr w:type="spellStart"/>
            <w:r>
              <w:rPr>
                <w:sz w:val="20"/>
                <w:szCs w:val="20"/>
                <w:lang w:val="es-UY"/>
              </w:rPr>
              <w:t>Voth</w:t>
            </w:r>
            <w:proofErr w:type="spellEnd"/>
            <w:r>
              <w:rPr>
                <w:sz w:val="20"/>
                <w:szCs w:val="20"/>
                <w:lang w:val="es-UY"/>
              </w:rPr>
              <w:t xml:space="preserve"> Hall y otro lado del puente.</w:t>
            </w:r>
          </w:p>
        </w:tc>
      </w:tr>
    </w:tbl>
    <w:p w:rsidR="001026C1" w:rsidRPr="00976A01" w:rsidRDefault="001026C1">
      <w:pPr>
        <w:rPr>
          <w:sz w:val="2"/>
          <w:szCs w:val="2"/>
        </w:rPr>
      </w:pPr>
    </w:p>
    <w:sectPr w:rsidR="001026C1" w:rsidRPr="00976A01" w:rsidSect="00976A0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0D"/>
    <w:rsid w:val="001026C1"/>
    <w:rsid w:val="00446B0D"/>
    <w:rsid w:val="006572B0"/>
    <w:rsid w:val="009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E3D6-0D21-4CD2-8D5D-E4B27A0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903A-31DA-4C1D-8EFC-CF90174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2016-07-20T20:52:00Z</dcterms:created>
  <dcterms:modified xsi:type="dcterms:W3CDTF">2016-07-20T21:51:00Z</dcterms:modified>
</cp:coreProperties>
</file>